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B16" w:rsidRPr="00B41B16" w:rsidRDefault="001E51D4" w:rsidP="00B41B16">
      <w:pPr>
        <w:pStyle w:val="Body"/>
        <w:rPr>
          <w:rFonts w:ascii="Cambria" w:hAnsi="Cambria"/>
          <w:b/>
          <w:sz w:val="24"/>
          <w:szCs w:val="24"/>
        </w:rPr>
      </w:pPr>
      <w:bookmarkStart w:id="0" w:name="_GoBack"/>
      <w:r>
        <w:rPr>
          <w:noProof/>
        </w:rPr>
        <w:drawing>
          <wp:anchor distT="0" distB="0" distL="114300" distR="114300" simplePos="0" relativeHeight="251659264" behindDoc="0" locked="0" layoutInCell="1" allowOverlap="1" wp14:anchorId="0669D746" wp14:editId="2574537A">
            <wp:simplePos x="0" y="0"/>
            <wp:positionH relativeFrom="margin">
              <wp:posOffset>4152900</wp:posOffset>
            </wp:positionH>
            <wp:positionV relativeFrom="paragraph">
              <wp:posOffset>-923925</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B41B16" w:rsidRPr="00B41B16">
        <w:rPr>
          <w:rFonts w:ascii="Cambria" w:hAnsi="Cambria"/>
          <w:b/>
          <w:sz w:val="24"/>
          <w:szCs w:val="24"/>
        </w:rPr>
        <w:t>9</w:t>
      </w:r>
      <w:r w:rsidR="00B41B16" w:rsidRPr="00C43824">
        <w:rPr>
          <w:rFonts w:ascii="Cambria" w:hAnsi="Cambria"/>
          <w:sz w:val="24"/>
          <w:szCs w:val="24"/>
        </w:rPr>
        <w:t>.</w:t>
      </w:r>
      <w:r w:rsidR="00B41B16">
        <w:rPr>
          <w:rFonts w:ascii="Cambria" w:hAnsi="Cambria"/>
          <w:sz w:val="24"/>
          <w:szCs w:val="24"/>
        </w:rPr>
        <w:t xml:space="preserve"> </w:t>
      </w:r>
      <w:r w:rsidR="00B41B16" w:rsidRPr="00B41B16">
        <w:rPr>
          <w:rFonts w:ascii="Cambria" w:hAnsi="Cambria"/>
          <w:b/>
          <w:sz w:val="24"/>
          <w:szCs w:val="24"/>
        </w:rPr>
        <w:t xml:space="preserve">NEVYRIAUSYBINIŲ ORGANIZACIJŲ KŪRIMAS IR VALDYMAS </w:t>
      </w:r>
    </w:p>
    <w:p w:rsidR="007C278F" w:rsidRPr="00C43824" w:rsidRDefault="007C278F" w:rsidP="00C43824">
      <w:pPr>
        <w:pStyle w:val="Body"/>
        <w:rPr>
          <w:rFonts w:ascii="Cambria" w:hAnsi="Cambria"/>
          <w:sz w:val="24"/>
          <w:szCs w:val="24"/>
        </w:rPr>
      </w:pPr>
    </w:p>
    <w:p w:rsidR="007C278F" w:rsidRPr="00C43824" w:rsidRDefault="007C278F" w:rsidP="00C43824">
      <w:pPr>
        <w:pStyle w:val="Body"/>
        <w:rPr>
          <w:rFonts w:ascii="Cambria" w:hAnsi="Cambria"/>
          <w:sz w:val="24"/>
          <w:szCs w:val="24"/>
        </w:rPr>
      </w:pPr>
    </w:p>
    <w:p w:rsidR="00C43824" w:rsidRPr="00B41B16" w:rsidRDefault="00B41B16" w:rsidP="00C43824">
      <w:pPr>
        <w:pStyle w:val="Body"/>
        <w:numPr>
          <w:ilvl w:val="0"/>
          <w:numId w:val="6"/>
        </w:numPr>
        <w:ind w:left="360"/>
        <w:rPr>
          <w:rFonts w:ascii="Cambria" w:hAnsi="Cambria"/>
          <w:b/>
          <w:sz w:val="24"/>
          <w:szCs w:val="24"/>
        </w:rPr>
      </w:pPr>
      <w:r w:rsidRPr="00B41B16">
        <w:rPr>
          <w:rFonts w:ascii="Cambria" w:hAnsi="Cambria"/>
          <w:b/>
          <w:sz w:val="24"/>
          <w:szCs w:val="24"/>
        </w:rPr>
        <w:t xml:space="preserve">NEVYRIAUSYBINIŲ ORGANIZACIJŲ KŪRIMAS IR VALDYMAS </w:t>
      </w:r>
    </w:p>
    <w:p w:rsidR="007C278F" w:rsidRPr="00C43824" w:rsidRDefault="00B41B16" w:rsidP="00C43824">
      <w:pPr>
        <w:pStyle w:val="Body"/>
        <w:rPr>
          <w:rFonts w:ascii="Cambria" w:hAnsi="Cambria"/>
          <w:sz w:val="24"/>
          <w:szCs w:val="24"/>
        </w:rPr>
      </w:pPr>
      <w:r w:rsidRPr="00B41B16">
        <w:rPr>
          <w:rFonts w:ascii="Cambria" w:hAnsi="Cambria"/>
          <w:b/>
          <w:sz w:val="24"/>
          <w:szCs w:val="24"/>
        </w:rPr>
        <w:t>2</w:t>
      </w:r>
      <w:r w:rsidRPr="00C43824">
        <w:rPr>
          <w:rFonts w:ascii="Cambria" w:hAnsi="Cambria"/>
          <w:b/>
          <w:sz w:val="24"/>
          <w:szCs w:val="24"/>
        </w:rPr>
        <w:t>. PILIETINĖ VISUOMENĖ (NVO) VAIDINA SVARBŲ VAIDMENĮ PLĖTOJANT EKONOMIKĄ</w:t>
      </w:r>
      <w:r w:rsidR="007C278F" w:rsidRPr="00C43824">
        <w:rPr>
          <w:rFonts w:ascii="Cambria" w:hAnsi="Cambria"/>
          <w:sz w:val="24"/>
          <w:szCs w:val="24"/>
        </w:rPr>
        <w:t>. NVO ne tik remia žmonių užimtumą, bet ir gerokai papildo valstybės biudžetą. Ekonominė nevyriausybinių organizacijų indėlio į bendruomenes vertė yra savanorystė, įdarbinimas ir lėšos. Daugelis NVO daro ekonominį poveikį kaip socialinių paslaugų teikėjai ir kaip darbdaviai, ypač socialinėje srityje. NVO gali prisidėti prie pokyčių ekonominiuose reikaluose (mokesčių politika ir kova su šešėline ekonomika), mažinti korupciją ir atskleisti vyriausybės bei parlamento veiklą.</w:t>
      </w:r>
    </w:p>
    <w:p w:rsidR="007C278F" w:rsidRPr="00C43824" w:rsidRDefault="007C278F" w:rsidP="00C43824">
      <w:pPr>
        <w:pStyle w:val="Body"/>
        <w:rPr>
          <w:rFonts w:ascii="Cambria" w:hAnsi="Cambria"/>
          <w:sz w:val="24"/>
          <w:szCs w:val="24"/>
        </w:rPr>
      </w:pPr>
    </w:p>
    <w:p w:rsidR="007C278F" w:rsidRPr="00C43824" w:rsidRDefault="00B41B16" w:rsidP="00C43824">
      <w:pPr>
        <w:pStyle w:val="Body"/>
        <w:rPr>
          <w:rFonts w:ascii="Cambria" w:hAnsi="Cambria"/>
          <w:sz w:val="24"/>
          <w:szCs w:val="24"/>
        </w:rPr>
      </w:pPr>
      <w:r w:rsidRPr="00C43824">
        <w:rPr>
          <w:rFonts w:ascii="Cambria" w:hAnsi="Cambria"/>
          <w:b/>
          <w:sz w:val="24"/>
          <w:szCs w:val="24"/>
        </w:rPr>
        <w:t>3. EUROPOS TREČIASIS SEKTORIUS</w:t>
      </w:r>
      <w:r w:rsidRPr="00C43824">
        <w:rPr>
          <w:rFonts w:ascii="Cambria" w:hAnsi="Cambria"/>
          <w:sz w:val="24"/>
          <w:szCs w:val="24"/>
        </w:rPr>
        <w:t xml:space="preserve"> </w:t>
      </w:r>
      <w:r w:rsidR="007C278F" w:rsidRPr="00C43824">
        <w:rPr>
          <w:rFonts w:ascii="Cambria" w:hAnsi="Cambria"/>
          <w:sz w:val="24"/>
          <w:szCs w:val="24"/>
        </w:rPr>
        <w:t>yra didžiulė ekonominė jėga, apimanti daugumą pagrindinių pramonės šakų savo darbo jėgos mastu. Apskritai Europos trečiajame sektoriuje 28 ES šalyse dirba 28,3 mln. Visą darbo dieną dirbančių darbuotojų (apmokamų ir savanorių). Taigi Europos nevyriausybinių organizacijų sektorius sudaro beveik 13 % Europos darbo jėgos “. Trečiojo sektoriaus darbo jėgos procentinė dalis pagal bendrą užimtumą regionuose skiriasi:</w:t>
      </w:r>
    </w:p>
    <w:p w:rsidR="007C278F" w:rsidRPr="00C43824" w:rsidRDefault="007C278F" w:rsidP="00C43824">
      <w:pPr>
        <w:pStyle w:val="Body"/>
        <w:rPr>
          <w:rFonts w:ascii="Cambria" w:hAnsi="Cambria"/>
          <w:sz w:val="24"/>
          <w:szCs w:val="24"/>
        </w:rPr>
      </w:pPr>
      <w:r w:rsidRPr="00C43824">
        <w:rPr>
          <w:rFonts w:ascii="Cambria" w:hAnsi="Cambria"/>
          <w:sz w:val="24"/>
          <w:szCs w:val="24"/>
        </w:rPr>
        <w:t>Šiaurės Europa (Austrija, Belgija, Prancūzija, Vokietija, Airija, Liuksemburgas, Nyderlandai, Jungtinė Karalystė) ir Pietų Europa (Kipras, Graikija, Italija, Malta, Portugalija, Ispanija) 13 %;</w:t>
      </w:r>
    </w:p>
    <w:p w:rsidR="007C278F" w:rsidRPr="00C43824" w:rsidRDefault="007C278F" w:rsidP="00C43824">
      <w:pPr>
        <w:pStyle w:val="Body"/>
        <w:rPr>
          <w:rFonts w:ascii="Cambria" w:hAnsi="Cambria"/>
          <w:sz w:val="24"/>
          <w:szCs w:val="24"/>
        </w:rPr>
      </w:pPr>
      <w:r w:rsidRPr="00C43824">
        <w:rPr>
          <w:rFonts w:ascii="Cambria" w:hAnsi="Cambria"/>
          <w:sz w:val="24"/>
          <w:szCs w:val="24"/>
        </w:rPr>
        <w:t>Skandinavija (Danija, Suomija, Norvegija, Švedija) 15 %;</w:t>
      </w:r>
    </w:p>
    <w:p w:rsidR="007C278F" w:rsidRPr="00C43824" w:rsidRDefault="007C278F" w:rsidP="00C43824">
      <w:pPr>
        <w:pStyle w:val="Body"/>
        <w:rPr>
          <w:rFonts w:ascii="Cambria" w:hAnsi="Cambria"/>
          <w:sz w:val="24"/>
          <w:szCs w:val="24"/>
        </w:rPr>
      </w:pPr>
      <w:r w:rsidRPr="00C43824">
        <w:rPr>
          <w:rFonts w:ascii="Cambria" w:hAnsi="Cambria"/>
          <w:sz w:val="24"/>
          <w:szCs w:val="24"/>
        </w:rPr>
        <w:t>Vidurio ir Rytų Europa (Bulgarija, Kroatija, Čekija, Estija, Vengrija, Latvija, Lietuva, Lenkija, Rumunija, Slovakija, Slovėnija) 9 %;</w:t>
      </w:r>
    </w:p>
    <w:p w:rsidR="007C278F" w:rsidRPr="00C43824" w:rsidRDefault="007C278F" w:rsidP="00C43824">
      <w:pPr>
        <w:pStyle w:val="Body"/>
        <w:rPr>
          <w:rFonts w:ascii="Cambria" w:hAnsi="Cambria"/>
          <w:sz w:val="24"/>
          <w:szCs w:val="24"/>
        </w:rPr>
      </w:pPr>
    </w:p>
    <w:p w:rsidR="00B41B16" w:rsidRDefault="007C278F" w:rsidP="00C43824">
      <w:pPr>
        <w:pStyle w:val="Body"/>
        <w:rPr>
          <w:rFonts w:ascii="Cambria" w:hAnsi="Cambria"/>
          <w:b/>
          <w:sz w:val="24"/>
          <w:szCs w:val="24"/>
        </w:rPr>
      </w:pPr>
      <w:r w:rsidRPr="00C43824">
        <w:rPr>
          <w:rFonts w:ascii="Cambria" w:hAnsi="Cambria"/>
          <w:b/>
          <w:sz w:val="24"/>
          <w:szCs w:val="24"/>
        </w:rPr>
        <w:t>4.</w:t>
      </w:r>
      <w:r w:rsidR="00B41B16">
        <w:rPr>
          <w:rFonts w:ascii="Cambria" w:hAnsi="Cambria"/>
          <w:b/>
          <w:sz w:val="24"/>
          <w:szCs w:val="24"/>
        </w:rPr>
        <w:t xml:space="preserve"> </w:t>
      </w:r>
      <w:r w:rsidR="00B41B16" w:rsidRPr="00B41B16">
        <w:rPr>
          <w:rFonts w:ascii="Cambria" w:hAnsi="Cambria"/>
          <w:b/>
          <w:sz w:val="24"/>
          <w:szCs w:val="24"/>
          <w:lang w:val="lt-LT"/>
        </w:rPr>
        <w:t>ES ŠALYS, KURIOSE YRA LABIAUSIAI IŠSIVYSČIUSI PILIETINĖ VISUOMENĖ</w:t>
      </w:r>
    </w:p>
    <w:p w:rsidR="00B41B16" w:rsidRDefault="00B41B16" w:rsidP="00C43824">
      <w:pPr>
        <w:pStyle w:val="Body"/>
        <w:rPr>
          <w:rFonts w:ascii="Cambria" w:hAnsi="Cambria"/>
          <w:b/>
          <w:sz w:val="24"/>
          <w:szCs w:val="24"/>
        </w:rPr>
      </w:pPr>
    </w:p>
    <w:p w:rsidR="007C278F" w:rsidRPr="00C43824" w:rsidRDefault="007C278F" w:rsidP="00C43824">
      <w:pPr>
        <w:pStyle w:val="Body"/>
        <w:rPr>
          <w:rFonts w:ascii="Cambria" w:hAnsi="Cambria"/>
          <w:sz w:val="24"/>
          <w:szCs w:val="24"/>
        </w:rPr>
      </w:pPr>
      <w:r w:rsidRPr="00C43824">
        <w:rPr>
          <w:rFonts w:ascii="Cambria" w:hAnsi="Cambria"/>
          <w:sz w:val="24"/>
          <w:szCs w:val="24"/>
        </w:rPr>
        <w:t>Skandinavijos šalims Švedijai, Norvegijai ir Danijai būdingas didelis pasitikėjimas, savanoriška veikla, dalyvavimas savanoriškose organizacijose ir politinė kultūra, apimanti lygybę, nacionalinį solidarumą ir individualų savarankiškumą. Remiantis „Eurobarometro“ apklausa, 50% Suomijos gyventojų aktyviai dalyvauja savanoriškoje veikloje. Šis skaičius gerokai viršija ES-25 vidurkį-34 proc.</w:t>
      </w:r>
    </w:p>
    <w:p w:rsidR="007C278F" w:rsidRPr="00C43824" w:rsidRDefault="007C278F" w:rsidP="00C43824">
      <w:pPr>
        <w:pStyle w:val="Body"/>
        <w:rPr>
          <w:rFonts w:ascii="Cambria" w:hAnsi="Cambria"/>
          <w:sz w:val="24"/>
          <w:szCs w:val="24"/>
        </w:rPr>
      </w:pPr>
      <w:r w:rsidRPr="00C43824">
        <w:rPr>
          <w:rFonts w:ascii="Cambria" w:hAnsi="Cambria"/>
          <w:sz w:val="24"/>
          <w:szCs w:val="24"/>
        </w:rPr>
        <w:t>Imkime Suomiją kaip pavyzdį! Tiesą sakant, apie 75% Suomijos gyventojų yra savanoriškos (-ių) organizacijos (-ų) nariai per visą savo gyvenimą, ir daugelis asmenų per visą savo gyvenimą yra kelių skirtingų organizacijų nariai. Savanoriai Suomijoje veikia įvairiuose sektoriuose - nuo sporto iki gyvūnų gerovės, aplinkos išsaugojimo ir savanoriškos veiklos, susijusios su ginkluotosiomis pajėgomis. Daugelis savanoriškų organizacijų yra labai priklausomos nuo vyresnių nei 50 metų žmonių, kad galėtų eiti vadovaujančias pareigas savanoriškai. Vyresnio amžiaus žmonės daugiau laiko skiria savanorystei nei kitos amžiaus grupės - vidutiniškai 20 valandų per mėnesį.</w:t>
      </w:r>
    </w:p>
    <w:p w:rsidR="007C278F" w:rsidRPr="00C43824" w:rsidRDefault="007C278F" w:rsidP="00C43824">
      <w:pPr>
        <w:pStyle w:val="Body"/>
        <w:rPr>
          <w:rFonts w:ascii="Cambria" w:hAnsi="Cambria"/>
          <w:sz w:val="24"/>
          <w:szCs w:val="24"/>
        </w:rPr>
      </w:pPr>
      <w:r w:rsidRPr="00C43824">
        <w:rPr>
          <w:rFonts w:ascii="Cambria" w:hAnsi="Cambria"/>
          <w:sz w:val="24"/>
          <w:szCs w:val="24"/>
        </w:rPr>
        <w:lastRenderedPageBreak/>
        <w:t>Svarbiausias savanorių Suomijoje užfiksuotas motyvuojantis veiksnys yra noras padėti kitiems (41% savanorių). Antras svarbiausias veiksnys yra noras produktyviai praleisti laisvalaikį ir reguliariai užsiimti veikla (16%). Kiti svarbūs motyvuojantys veiksniai buvo šie: draugų ir šeimos prašymai (9%); galimybė dalyvauti įdomioje veikloje (8%); nori įgyti naujos patirties ir įgūdžių (8%); ir sutikti naujų žmonių (8%).</w:t>
      </w:r>
    </w:p>
    <w:p w:rsidR="007C278F" w:rsidRDefault="007C278F" w:rsidP="00C43824">
      <w:pPr>
        <w:pStyle w:val="Body"/>
        <w:rPr>
          <w:rFonts w:ascii="Cambria" w:hAnsi="Cambria"/>
          <w:b/>
          <w:sz w:val="24"/>
          <w:szCs w:val="24"/>
        </w:rPr>
      </w:pPr>
      <w:r w:rsidRPr="00C43824">
        <w:rPr>
          <w:rFonts w:ascii="Cambria" w:hAnsi="Cambria"/>
          <w:sz w:val="24"/>
          <w:szCs w:val="24"/>
        </w:rPr>
        <w:t xml:space="preserve">Dabar žiūrėsime dokumentinį filmą apie savanorių darbą Suomijoje </w:t>
      </w:r>
      <w:hyperlink r:id="rId6" w:history="1">
        <w:r w:rsidR="00FB6404" w:rsidRPr="009C738B">
          <w:rPr>
            <w:rStyle w:val="Hyperlink"/>
            <w:rFonts w:ascii="Cambria" w:hAnsi="Cambria"/>
            <w:b/>
            <w:sz w:val="24"/>
            <w:szCs w:val="24"/>
            <w:highlight w:val="red"/>
          </w:rPr>
          <w:t>https://www.youtube.com/watch?v=0bzeewqmICU</w:t>
        </w:r>
      </w:hyperlink>
    </w:p>
    <w:p w:rsidR="00FB6404" w:rsidRPr="00C43824" w:rsidRDefault="00FB6404" w:rsidP="00C43824">
      <w:pPr>
        <w:pStyle w:val="Body"/>
        <w:rPr>
          <w:rFonts w:ascii="Cambria" w:hAnsi="Cambria"/>
          <w:sz w:val="24"/>
          <w:szCs w:val="24"/>
        </w:rPr>
      </w:pPr>
    </w:p>
    <w:p w:rsidR="007C278F" w:rsidRPr="00FB6404" w:rsidRDefault="007C278F" w:rsidP="00C43824">
      <w:pPr>
        <w:pStyle w:val="Body"/>
        <w:rPr>
          <w:rFonts w:ascii="Cambria" w:hAnsi="Cambria"/>
          <w:b/>
          <w:color w:val="C00000"/>
          <w:sz w:val="24"/>
          <w:szCs w:val="24"/>
        </w:rPr>
      </w:pPr>
      <w:r w:rsidRPr="00FB6404">
        <w:rPr>
          <w:rFonts w:ascii="Cambria" w:hAnsi="Cambria"/>
          <w:b/>
          <w:color w:val="C00000"/>
          <w:sz w:val="24"/>
          <w:szCs w:val="24"/>
        </w:rPr>
        <w:t>Dabar turime 15 minučių pertrauką.</w:t>
      </w:r>
    </w:p>
    <w:p w:rsidR="007C278F" w:rsidRPr="00FB6404" w:rsidRDefault="007C278F" w:rsidP="00C43824">
      <w:pPr>
        <w:pStyle w:val="Body"/>
        <w:rPr>
          <w:rFonts w:ascii="Cambria" w:hAnsi="Cambria"/>
          <w:b/>
          <w:color w:val="C00000"/>
          <w:sz w:val="24"/>
          <w:szCs w:val="24"/>
        </w:rPr>
      </w:pPr>
      <w:r w:rsidRPr="00FB6404">
        <w:rPr>
          <w:rFonts w:ascii="Cambria" w:hAnsi="Cambria"/>
          <w:b/>
          <w:color w:val="C00000"/>
          <w:sz w:val="24"/>
          <w:szCs w:val="24"/>
        </w:rPr>
        <w:t>Tęskime!</w:t>
      </w:r>
    </w:p>
    <w:p w:rsidR="007C278F" w:rsidRPr="00C43824" w:rsidRDefault="007C278F" w:rsidP="00C43824">
      <w:pPr>
        <w:pStyle w:val="Body"/>
        <w:rPr>
          <w:rFonts w:ascii="Cambria" w:hAnsi="Cambria"/>
          <w:sz w:val="24"/>
          <w:szCs w:val="24"/>
        </w:rPr>
      </w:pPr>
    </w:p>
    <w:p w:rsidR="007C278F" w:rsidRPr="00FB6404" w:rsidRDefault="007C278F" w:rsidP="00C43824">
      <w:pPr>
        <w:pStyle w:val="Body"/>
        <w:rPr>
          <w:rFonts w:ascii="Cambria" w:hAnsi="Cambria"/>
          <w:b/>
          <w:sz w:val="24"/>
          <w:szCs w:val="24"/>
        </w:rPr>
      </w:pPr>
      <w:r w:rsidRPr="00FB6404">
        <w:rPr>
          <w:rFonts w:ascii="Cambria" w:hAnsi="Cambria"/>
          <w:b/>
          <w:sz w:val="24"/>
          <w:szCs w:val="24"/>
        </w:rPr>
        <w:t xml:space="preserve">5. </w:t>
      </w:r>
      <w:r w:rsidR="00B41B16" w:rsidRPr="00FB6404">
        <w:rPr>
          <w:rFonts w:ascii="Cambria" w:hAnsi="Cambria"/>
          <w:b/>
          <w:sz w:val="24"/>
          <w:szCs w:val="24"/>
        </w:rPr>
        <w:t>PAKALBĖKIME APIE TEISINĘ VISUOMENĖS DALYVAVIMO PRIIMANT SPRENDIMUS SISTEMĄ, PILIETINĘ VISUOMENĘ - NVO VEIKLĄ EUROPOS SĄJUNGOJE.</w:t>
      </w:r>
    </w:p>
    <w:p w:rsidR="007C278F" w:rsidRPr="00C43824" w:rsidRDefault="007C278F" w:rsidP="00C43824">
      <w:pPr>
        <w:pStyle w:val="Body"/>
        <w:rPr>
          <w:rFonts w:ascii="Cambria" w:hAnsi="Cambria"/>
          <w:sz w:val="24"/>
          <w:szCs w:val="24"/>
        </w:rPr>
      </w:pPr>
      <w:r w:rsidRPr="00C43824">
        <w:rPr>
          <w:rFonts w:ascii="Cambria" w:hAnsi="Cambria"/>
          <w:sz w:val="24"/>
          <w:szCs w:val="24"/>
        </w:rPr>
        <w:t>Tarptautiniai ir Europos standartai žmonių dalyvavimui sprendimų priėmimo procesuose pastaraisiais metais labai pasikeitė. Dabar garantuota teisė dalyvauti įvairiais klausimais: galimybė gauti informaciją, visų asmenų lygybė, pripažįstant esminį NVO vaidmenį dalyvaujant, sudaryti sąlygas dalyvauti nepalankioje padėtyje esančioms grupėms ir sudaryti palankią teisinę sistemą.</w:t>
      </w:r>
    </w:p>
    <w:p w:rsidR="007C278F" w:rsidRPr="00C43824" w:rsidRDefault="007C278F" w:rsidP="00C43824">
      <w:pPr>
        <w:pStyle w:val="Body"/>
        <w:rPr>
          <w:rFonts w:ascii="Cambria" w:hAnsi="Cambria"/>
          <w:sz w:val="24"/>
          <w:szCs w:val="24"/>
        </w:rPr>
      </w:pPr>
      <w:r w:rsidRPr="00C43824">
        <w:rPr>
          <w:rFonts w:ascii="Cambria" w:hAnsi="Cambria"/>
          <w:sz w:val="24"/>
          <w:szCs w:val="24"/>
        </w:rPr>
        <w:t>Europos Sąjungoje valstybės ir nevyriausybinio sektoriaus bendradarbiavimą įtvirtino įvairūs Europos Komisijos teisėkūros dokumentai, kuriuose numatyta NVO teisė dalyvauti priimant vyriausybės sprendimus</w:t>
      </w:r>
    </w:p>
    <w:p w:rsidR="007C278F" w:rsidRPr="00C43824" w:rsidRDefault="007C278F" w:rsidP="00C43824">
      <w:pPr>
        <w:pStyle w:val="Body"/>
        <w:rPr>
          <w:rFonts w:ascii="Cambria" w:hAnsi="Cambria"/>
          <w:sz w:val="24"/>
          <w:szCs w:val="24"/>
        </w:rPr>
      </w:pPr>
    </w:p>
    <w:p w:rsidR="007C278F" w:rsidRPr="00C43824" w:rsidRDefault="007C278F" w:rsidP="00C43824">
      <w:pPr>
        <w:pStyle w:val="Body"/>
        <w:rPr>
          <w:rFonts w:ascii="Cambria" w:hAnsi="Cambria"/>
          <w:sz w:val="24"/>
          <w:szCs w:val="24"/>
        </w:rPr>
      </w:pPr>
      <w:r w:rsidRPr="00FB6404">
        <w:rPr>
          <w:rFonts w:ascii="Cambria" w:hAnsi="Cambria"/>
          <w:b/>
          <w:sz w:val="24"/>
          <w:szCs w:val="24"/>
        </w:rPr>
        <w:t xml:space="preserve">6. Europos Sąjungos (ES) lygmeniu pilietis </w:t>
      </w:r>
      <w:r w:rsidRPr="00C43824">
        <w:rPr>
          <w:rFonts w:ascii="Cambria" w:hAnsi="Cambria"/>
          <w:sz w:val="24"/>
          <w:szCs w:val="24"/>
        </w:rPr>
        <w:t>gali būti įtrauktas į sprendimų priėmimo procesus tiek kaip asmuo, tiek kaip organizacijos ar institucijos atstovas. Jis gali būti įgyvendintas įvairiais lygiais:</w:t>
      </w:r>
    </w:p>
    <w:p w:rsidR="007C278F" w:rsidRPr="00C43824" w:rsidRDefault="007C278F" w:rsidP="00C43824">
      <w:pPr>
        <w:pStyle w:val="Body"/>
        <w:numPr>
          <w:ilvl w:val="0"/>
          <w:numId w:val="5"/>
        </w:numPr>
        <w:rPr>
          <w:rFonts w:ascii="Cambria" w:hAnsi="Cambria"/>
          <w:sz w:val="24"/>
          <w:szCs w:val="24"/>
        </w:rPr>
      </w:pPr>
      <w:r w:rsidRPr="00C43824">
        <w:rPr>
          <w:rFonts w:ascii="Cambria" w:hAnsi="Cambria"/>
          <w:sz w:val="24"/>
          <w:szCs w:val="24"/>
        </w:rPr>
        <w:t>neformalusis lygis-ES nevyriausybinių organizacijų tinklai;</w:t>
      </w:r>
    </w:p>
    <w:p w:rsidR="007C278F" w:rsidRPr="00C43824" w:rsidRDefault="007C278F" w:rsidP="00C43824">
      <w:pPr>
        <w:pStyle w:val="Body"/>
        <w:numPr>
          <w:ilvl w:val="0"/>
          <w:numId w:val="5"/>
        </w:numPr>
        <w:rPr>
          <w:rFonts w:ascii="Cambria" w:hAnsi="Cambria"/>
          <w:sz w:val="24"/>
          <w:szCs w:val="24"/>
        </w:rPr>
      </w:pPr>
      <w:r w:rsidRPr="00C43824">
        <w:rPr>
          <w:rFonts w:ascii="Cambria" w:hAnsi="Cambria"/>
          <w:sz w:val="24"/>
          <w:szCs w:val="24"/>
        </w:rPr>
        <w:t>oficialus nacionalinis lygmuo - ES valstybių narių institucijos: vyriausybė, parlamentas;</w:t>
      </w:r>
    </w:p>
    <w:p w:rsidR="007C278F" w:rsidRPr="00C43824" w:rsidRDefault="007C278F" w:rsidP="00C43824">
      <w:pPr>
        <w:pStyle w:val="Body"/>
        <w:numPr>
          <w:ilvl w:val="0"/>
          <w:numId w:val="5"/>
        </w:numPr>
        <w:rPr>
          <w:rFonts w:ascii="Cambria" w:hAnsi="Cambria"/>
          <w:sz w:val="24"/>
          <w:szCs w:val="24"/>
        </w:rPr>
      </w:pPr>
      <w:r w:rsidRPr="00C43824">
        <w:rPr>
          <w:rFonts w:ascii="Cambria" w:hAnsi="Cambria"/>
          <w:sz w:val="24"/>
          <w:szCs w:val="24"/>
        </w:rPr>
        <w:t>oficialus viršvalstybinis lygis - ES institucijos: Europos Komisija, Europos Parlamentas ir kt.</w:t>
      </w:r>
    </w:p>
    <w:p w:rsidR="007C278F" w:rsidRPr="00C43824" w:rsidRDefault="007C278F" w:rsidP="00C43824">
      <w:pPr>
        <w:pStyle w:val="Body"/>
        <w:rPr>
          <w:rFonts w:ascii="Cambria" w:hAnsi="Cambria"/>
          <w:sz w:val="24"/>
          <w:szCs w:val="24"/>
        </w:rPr>
      </w:pPr>
    </w:p>
    <w:p w:rsidR="00B41B16" w:rsidRDefault="007C278F" w:rsidP="00C43824">
      <w:pPr>
        <w:pStyle w:val="Body"/>
        <w:rPr>
          <w:rFonts w:ascii="Cambria" w:hAnsi="Cambria"/>
          <w:b/>
          <w:sz w:val="24"/>
          <w:szCs w:val="24"/>
        </w:rPr>
      </w:pPr>
      <w:r w:rsidRPr="00FB6404">
        <w:rPr>
          <w:rFonts w:ascii="Cambria" w:hAnsi="Cambria"/>
          <w:b/>
          <w:sz w:val="24"/>
          <w:szCs w:val="24"/>
        </w:rPr>
        <w:t>7.</w:t>
      </w:r>
      <w:r w:rsidR="00B41B16">
        <w:rPr>
          <w:rFonts w:ascii="Cambria" w:hAnsi="Cambria"/>
          <w:b/>
          <w:sz w:val="24"/>
          <w:szCs w:val="24"/>
        </w:rPr>
        <w:t xml:space="preserve"> </w:t>
      </w:r>
      <w:r w:rsidR="00B41B16" w:rsidRPr="00B41B16">
        <w:rPr>
          <w:rFonts w:ascii="Cambria" w:hAnsi="Cambria"/>
          <w:b/>
          <w:sz w:val="24"/>
          <w:szCs w:val="24"/>
          <w:lang w:val="lt-LT"/>
        </w:rPr>
        <w:t>VISUOMENĖS DALYVAVIMO ES BŪDAI</w:t>
      </w:r>
    </w:p>
    <w:p w:rsidR="007C278F" w:rsidRPr="00FB6404" w:rsidRDefault="007C278F" w:rsidP="00C43824">
      <w:pPr>
        <w:pStyle w:val="Body"/>
        <w:rPr>
          <w:rFonts w:ascii="Cambria" w:hAnsi="Cambria"/>
          <w:b/>
          <w:sz w:val="24"/>
          <w:szCs w:val="24"/>
        </w:rPr>
      </w:pPr>
      <w:r w:rsidRPr="00FB6404">
        <w:rPr>
          <w:rFonts w:ascii="Cambria" w:hAnsi="Cambria"/>
          <w:b/>
          <w:sz w:val="24"/>
          <w:szCs w:val="24"/>
        </w:rPr>
        <w:t xml:space="preserve"> Dalyvavimas gali būti įgyvendinamas šiais būdais:</w:t>
      </w:r>
    </w:p>
    <w:p w:rsidR="007C278F" w:rsidRPr="00C43824" w:rsidRDefault="007C278F" w:rsidP="00C43824">
      <w:pPr>
        <w:pStyle w:val="Body"/>
        <w:numPr>
          <w:ilvl w:val="0"/>
          <w:numId w:val="3"/>
        </w:numPr>
        <w:rPr>
          <w:rFonts w:ascii="Cambria" w:hAnsi="Cambria"/>
          <w:sz w:val="24"/>
          <w:szCs w:val="24"/>
        </w:rPr>
      </w:pPr>
      <w:r w:rsidRPr="00C43824">
        <w:rPr>
          <w:rFonts w:ascii="Cambria" w:hAnsi="Cambria"/>
          <w:sz w:val="24"/>
          <w:szCs w:val="24"/>
        </w:rPr>
        <w:t>piliečių iniciatyva - kartu su kitų Europos šalių piliečiais, prašančiais Europos Komisijos apsvarstyti viešus pasiūlymus;</w:t>
      </w:r>
    </w:p>
    <w:p w:rsidR="007C278F" w:rsidRPr="00C43824" w:rsidRDefault="007C278F" w:rsidP="00C43824">
      <w:pPr>
        <w:pStyle w:val="Body"/>
        <w:numPr>
          <w:ilvl w:val="0"/>
          <w:numId w:val="3"/>
        </w:numPr>
        <w:rPr>
          <w:rFonts w:ascii="Cambria" w:hAnsi="Cambria"/>
          <w:sz w:val="24"/>
          <w:szCs w:val="24"/>
        </w:rPr>
      </w:pPr>
      <w:r w:rsidRPr="00C43824">
        <w:rPr>
          <w:rFonts w:ascii="Cambria" w:hAnsi="Cambria"/>
          <w:sz w:val="24"/>
          <w:szCs w:val="24"/>
        </w:rPr>
        <w:t>dalyvavimas Europos Parlamento rinkimuose;</w:t>
      </w:r>
    </w:p>
    <w:p w:rsidR="007C278F" w:rsidRPr="00C43824" w:rsidRDefault="007C278F" w:rsidP="00C43824">
      <w:pPr>
        <w:pStyle w:val="Body"/>
        <w:numPr>
          <w:ilvl w:val="0"/>
          <w:numId w:val="3"/>
        </w:numPr>
        <w:rPr>
          <w:rFonts w:ascii="Cambria" w:hAnsi="Cambria"/>
          <w:sz w:val="24"/>
          <w:szCs w:val="24"/>
        </w:rPr>
      </w:pPr>
      <w:r w:rsidRPr="00C43824">
        <w:rPr>
          <w:rFonts w:ascii="Cambria" w:hAnsi="Cambria"/>
          <w:sz w:val="24"/>
          <w:szCs w:val="24"/>
        </w:rPr>
        <w:t>nuomonių pateikimas (pvz., rašant laiškus), pasiūlymai NVO tinklams spręsti konkrečius iššūkius;</w:t>
      </w:r>
    </w:p>
    <w:p w:rsidR="007C278F" w:rsidRPr="00C43824" w:rsidRDefault="007C278F" w:rsidP="00C43824">
      <w:pPr>
        <w:pStyle w:val="Body"/>
        <w:numPr>
          <w:ilvl w:val="0"/>
          <w:numId w:val="3"/>
        </w:numPr>
        <w:rPr>
          <w:rFonts w:ascii="Cambria" w:hAnsi="Cambria"/>
          <w:sz w:val="24"/>
          <w:szCs w:val="24"/>
        </w:rPr>
      </w:pPr>
      <w:r w:rsidRPr="00C43824">
        <w:rPr>
          <w:rFonts w:ascii="Cambria" w:hAnsi="Cambria"/>
          <w:sz w:val="24"/>
          <w:szCs w:val="24"/>
        </w:rPr>
        <w:t>aktyvus dalyvavimas viename iš ES NVO tinklų;</w:t>
      </w:r>
    </w:p>
    <w:p w:rsidR="007C278F" w:rsidRPr="00C43824" w:rsidRDefault="007C278F" w:rsidP="00C43824">
      <w:pPr>
        <w:pStyle w:val="Body"/>
        <w:numPr>
          <w:ilvl w:val="0"/>
          <w:numId w:val="3"/>
        </w:numPr>
        <w:rPr>
          <w:rFonts w:ascii="Cambria" w:hAnsi="Cambria"/>
          <w:sz w:val="24"/>
          <w:szCs w:val="24"/>
        </w:rPr>
      </w:pPr>
      <w:r w:rsidRPr="00C43824">
        <w:rPr>
          <w:rFonts w:ascii="Cambria" w:hAnsi="Cambria"/>
          <w:sz w:val="24"/>
          <w:szCs w:val="24"/>
        </w:rPr>
        <w:t>susitikimas su atstovaujančiais politikais</w:t>
      </w:r>
      <w:r w:rsidR="006F2903">
        <w:rPr>
          <w:rFonts w:ascii="Cambria" w:hAnsi="Cambria"/>
          <w:sz w:val="24"/>
          <w:szCs w:val="24"/>
        </w:rPr>
        <w:t>.</w:t>
      </w:r>
    </w:p>
    <w:p w:rsidR="007C278F" w:rsidRPr="00C43824" w:rsidRDefault="007C278F" w:rsidP="00C43824">
      <w:pPr>
        <w:pStyle w:val="Body"/>
        <w:rPr>
          <w:rFonts w:ascii="Cambria" w:hAnsi="Cambria"/>
          <w:sz w:val="24"/>
          <w:szCs w:val="24"/>
        </w:rPr>
      </w:pPr>
    </w:p>
    <w:p w:rsidR="00572D09" w:rsidRDefault="009C75FE" w:rsidP="00C43824">
      <w:pPr>
        <w:spacing w:after="0" w:line="240" w:lineRule="auto"/>
        <w:rPr>
          <w:rFonts w:ascii="Cambria" w:hAnsi="Cambria"/>
          <w:b/>
          <w:sz w:val="24"/>
          <w:szCs w:val="24"/>
          <w:lang w:val="lv-LV"/>
        </w:rPr>
      </w:pPr>
      <w:r w:rsidRPr="009C75FE">
        <w:rPr>
          <w:rFonts w:ascii="Cambria" w:hAnsi="Cambria"/>
          <w:b/>
          <w:sz w:val="24"/>
          <w:szCs w:val="24"/>
        </w:rPr>
        <w:lastRenderedPageBreak/>
        <w:t>8-9.</w:t>
      </w:r>
      <w:r>
        <w:rPr>
          <w:rFonts w:ascii="Cambria" w:hAnsi="Cambria"/>
          <w:sz w:val="24"/>
          <w:szCs w:val="24"/>
        </w:rPr>
        <w:t xml:space="preserve"> </w:t>
      </w:r>
      <w:r w:rsidRPr="009C75FE">
        <w:rPr>
          <w:rFonts w:ascii="Cambria" w:hAnsi="Cambria"/>
          <w:b/>
          <w:sz w:val="24"/>
          <w:szCs w:val="24"/>
          <w:lang w:val="lv-LV"/>
        </w:rPr>
        <w:t>NVO TINKLAI ES</w:t>
      </w:r>
    </w:p>
    <w:p w:rsidR="009C75FE" w:rsidRDefault="009C75FE" w:rsidP="00C43824">
      <w:pPr>
        <w:spacing w:after="0" w:line="240" w:lineRule="auto"/>
        <w:rPr>
          <w:rFonts w:ascii="Cambria" w:hAnsi="Cambria"/>
          <w:b/>
          <w:sz w:val="24"/>
          <w:szCs w:val="24"/>
          <w:lang w:val="lv-LV"/>
        </w:rPr>
      </w:pPr>
    </w:p>
    <w:p w:rsidR="00260B93" w:rsidRPr="009C75FE" w:rsidRDefault="006F2903" w:rsidP="006F2903">
      <w:pPr>
        <w:numPr>
          <w:ilvl w:val="0"/>
          <w:numId w:val="9"/>
        </w:numPr>
        <w:spacing w:after="0" w:line="240" w:lineRule="auto"/>
        <w:rPr>
          <w:rFonts w:ascii="Cambria" w:hAnsi="Cambria"/>
          <w:sz w:val="24"/>
          <w:szCs w:val="24"/>
        </w:rPr>
      </w:pPr>
      <w:r>
        <w:rPr>
          <w:rFonts w:ascii="Cambria" w:hAnsi="Cambria"/>
          <w:sz w:val="24"/>
          <w:szCs w:val="24"/>
          <w:lang w:val="lt-LT"/>
        </w:rPr>
        <w:t>p</w:t>
      </w:r>
      <w:r w:rsidR="009C75FE" w:rsidRPr="009C75FE">
        <w:rPr>
          <w:rFonts w:ascii="Cambria" w:hAnsi="Cambria"/>
          <w:sz w:val="24"/>
          <w:szCs w:val="24"/>
          <w:lang w:val="lt-LT"/>
        </w:rPr>
        <w:t>asaulinis tinklas, kurį sudaro daugiau nei 100 organizacijų daugiau nei 70 šalių</w:t>
      </w:r>
      <w:r>
        <w:rPr>
          <w:rFonts w:ascii="Cambria" w:hAnsi="Cambria"/>
          <w:sz w:val="24"/>
          <w:szCs w:val="24"/>
          <w:lang w:val="lt-LT"/>
        </w:rPr>
        <w:t>;</w:t>
      </w:r>
    </w:p>
    <w:p w:rsidR="00260B93" w:rsidRPr="009C75FE" w:rsidRDefault="006F2903" w:rsidP="006F2903">
      <w:pPr>
        <w:numPr>
          <w:ilvl w:val="0"/>
          <w:numId w:val="9"/>
        </w:numPr>
        <w:spacing w:after="0" w:line="240" w:lineRule="auto"/>
        <w:rPr>
          <w:rFonts w:ascii="Cambria" w:hAnsi="Cambria"/>
          <w:sz w:val="24"/>
          <w:szCs w:val="24"/>
        </w:rPr>
      </w:pPr>
      <w:r>
        <w:rPr>
          <w:rFonts w:ascii="Cambria" w:hAnsi="Cambria"/>
          <w:sz w:val="24"/>
          <w:szCs w:val="24"/>
          <w:lang w:val="lt-LT"/>
        </w:rPr>
        <w:t>s</w:t>
      </w:r>
      <w:r w:rsidR="009C75FE" w:rsidRPr="009C75FE">
        <w:rPr>
          <w:rFonts w:ascii="Cambria" w:hAnsi="Cambria"/>
          <w:sz w:val="24"/>
          <w:szCs w:val="24"/>
          <w:lang w:val="lt-LT"/>
        </w:rPr>
        <w:t>ukurtas ir dirba vyresnio amžiaus žmonėms įvairiais klausimais, įskaitant sveikatos priežiūrą, socialinius klausimus ir pajamų saugumą</w:t>
      </w:r>
      <w:r>
        <w:rPr>
          <w:rFonts w:ascii="Cambria" w:hAnsi="Cambria"/>
          <w:sz w:val="24"/>
          <w:szCs w:val="24"/>
          <w:lang w:val="lt-LT"/>
        </w:rPr>
        <w:t>;</w:t>
      </w:r>
    </w:p>
    <w:p w:rsidR="00260B93" w:rsidRPr="006F2903" w:rsidRDefault="006F2903" w:rsidP="006F2903">
      <w:pPr>
        <w:numPr>
          <w:ilvl w:val="0"/>
          <w:numId w:val="9"/>
        </w:numPr>
        <w:spacing w:after="0" w:line="240" w:lineRule="auto"/>
        <w:rPr>
          <w:rFonts w:ascii="Cambria" w:hAnsi="Cambria"/>
          <w:sz w:val="24"/>
          <w:szCs w:val="24"/>
        </w:rPr>
      </w:pPr>
      <w:r>
        <w:rPr>
          <w:rFonts w:ascii="Cambria" w:hAnsi="Cambria"/>
          <w:sz w:val="24"/>
          <w:szCs w:val="24"/>
          <w:lang w:val="lt-LT"/>
        </w:rPr>
        <w:t>s</w:t>
      </w:r>
      <w:r w:rsidR="009C75FE" w:rsidRPr="009C75FE">
        <w:rPr>
          <w:rFonts w:ascii="Cambria" w:hAnsi="Cambria"/>
          <w:sz w:val="24"/>
          <w:szCs w:val="24"/>
          <w:lang w:val="lt-LT"/>
        </w:rPr>
        <w:t>katina vienodai prisitaikyti prie gyventojų senėjimo atsižvelgiant į vyresnio amžiaus žmonių teises</w:t>
      </w:r>
      <w:r>
        <w:rPr>
          <w:rFonts w:ascii="Cambria" w:hAnsi="Cambria"/>
          <w:sz w:val="24"/>
          <w:szCs w:val="24"/>
          <w:lang w:val="lt-LT"/>
        </w:rPr>
        <w:t>;</w:t>
      </w:r>
    </w:p>
    <w:p w:rsidR="00260B93" w:rsidRPr="006F2903" w:rsidRDefault="006F2903" w:rsidP="006F2903">
      <w:pPr>
        <w:numPr>
          <w:ilvl w:val="0"/>
          <w:numId w:val="9"/>
        </w:numPr>
        <w:spacing w:after="0" w:line="240" w:lineRule="auto"/>
        <w:rPr>
          <w:rFonts w:ascii="Cambria" w:hAnsi="Cambria"/>
          <w:sz w:val="24"/>
          <w:szCs w:val="24"/>
        </w:rPr>
      </w:pPr>
      <w:r w:rsidRPr="006F2903">
        <w:rPr>
          <w:rFonts w:ascii="Cambria" w:hAnsi="Cambria"/>
          <w:sz w:val="24"/>
          <w:szCs w:val="24"/>
          <w:lang w:val="lt-LT"/>
        </w:rPr>
        <w:t>bendradarbiauja su tinklo organizacijomis</w:t>
      </w:r>
      <w:r>
        <w:rPr>
          <w:rFonts w:ascii="Cambria" w:hAnsi="Cambria"/>
          <w:sz w:val="24"/>
          <w:szCs w:val="24"/>
          <w:lang w:val="lt-LT"/>
        </w:rPr>
        <w:t>;</w:t>
      </w:r>
    </w:p>
    <w:p w:rsidR="00260B93" w:rsidRPr="006F2903" w:rsidRDefault="006F2903" w:rsidP="006F2903">
      <w:pPr>
        <w:numPr>
          <w:ilvl w:val="0"/>
          <w:numId w:val="9"/>
        </w:numPr>
        <w:spacing w:after="0" w:line="240" w:lineRule="auto"/>
        <w:rPr>
          <w:rFonts w:ascii="Cambria" w:hAnsi="Cambria"/>
          <w:sz w:val="24"/>
          <w:szCs w:val="24"/>
        </w:rPr>
      </w:pPr>
      <w:r w:rsidRPr="006F2903">
        <w:rPr>
          <w:rFonts w:ascii="Cambria" w:hAnsi="Cambria"/>
          <w:sz w:val="24"/>
          <w:szCs w:val="24"/>
          <w:lang w:val="lt-LT"/>
        </w:rPr>
        <w:t>tinklo plėtra</w:t>
      </w:r>
      <w:r>
        <w:rPr>
          <w:rFonts w:ascii="Cambria" w:hAnsi="Cambria"/>
          <w:sz w:val="24"/>
          <w:szCs w:val="24"/>
          <w:lang w:val="lt-LT"/>
        </w:rPr>
        <w:t>;</w:t>
      </w:r>
    </w:p>
    <w:p w:rsidR="00260B93" w:rsidRPr="006F2903" w:rsidRDefault="006F2903" w:rsidP="006F2903">
      <w:pPr>
        <w:numPr>
          <w:ilvl w:val="0"/>
          <w:numId w:val="9"/>
        </w:numPr>
        <w:spacing w:after="0" w:line="240" w:lineRule="auto"/>
        <w:rPr>
          <w:rFonts w:ascii="Cambria" w:hAnsi="Cambria"/>
          <w:sz w:val="24"/>
          <w:szCs w:val="24"/>
        </w:rPr>
      </w:pPr>
      <w:r w:rsidRPr="006F2903">
        <w:rPr>
          <w:rFonts w:ascii="Cambria" w:hAnsi="Cambria"/>
          <w:sz w:val="24"/>
          <w:szCs w:val="24"/>
          <w:lang w:val="lt-LT"/>
        </w:rPr>
        <w:t>žinių centro gera praktika</w:t>
      </w:r>
      <w:r>
        <w:rPr>
          <w:rFonts w:ascii="Cambria" w:hAnsi="Cambria"/>
          <w:sz w:val="24"/>
          <w:szCs w:val="24"/>
          <w:lang w:val="lt-LT"/>
        </w:rPr>
        <w:t>;</w:t>
      </w:r>
    </w:p>
    <w:p w:rsidR="00260B93" w:rsidRPr="006F2903" w:rsidRDefault="006F2903" w:rsidP="006F2903">
      <w:pPr>
        <w:numPr>
          <w:ilvl w:val="0"/>
          <w:numId w:val="9"/>
        </w:numPr>
        <w:spacing w:after="0" w:line="240" w:lineRule="auto"/>
        <w:rPr>
          <w:rFonts w:ascii="Cambria" w:hAnsi="Cambria"/>
          <w:sz w:val="24"/>
          <w:szCs w:val="24"/>
        </w:rPr>
      </w:pPr>
      <w:r w:rsidRPr="006F2903">
        <w:rPr>
          <w:rFonts w:ascii="Cambria" w:hAnsi="Cambria"/>
          <w:sz w:val="24"/>
          <w:szCs w:val="24"/>
          <w:lang w:val="lt-LT"/>
        </w:rPr>
        <w:t>nacionalinės ir tarptautinės iniciatyvos</w:t>
      </w:r>
      <w:r>
        <w:rPr>
          <w:rFonts w:ascii="Cambria" w:hAnsi="Cambria"/>
          <w:sz w:val="24"/>
          <w:szCs w:val="24"/>
          <w:lang w:val="lt-LT"/>
        </w:rPr>
        <w:t>.</w:t>
      </w:r>
    </w:p>
    <w:p w:rsidR="006F2903" w:rsidRPr="009C75FE" w:rsidRDefault="006F2903" w:rsidP="006F2903">
      <w:pPr>
        <w:spacing w:after="0" w:line="240" w:lineRule="auto"/>
        <w:ind w:left="720"/>
        <w:rPr>
          <w:rFonts w:ascii="Cambria" w:hAnsi="Cambria"/>
          <w:sz w:val="24"/>
          <w:szCs w:val="24"/>
        </w:rPr>
      </w:pPr>
    </w:p>
    <w:p w:rsidR="009C75FE" w:rsidRDefault="006F2903" w:rsidP="00C43824">
      <w:pPr>
        <w:spacing w:after="0" w:line="240" w:lineRule="auto"/>
        <w:rPr>
          <w:rFonts w:ascii="Cambria" w:hAnsi="Cambria"/>
          <w:b/>
          <w:sz w:val="24"/>
          <w:szCs w:val="24"/>
        </w:rPr>
      </w:pPr>
      <w:r w:rsidRPr="006F2903">
        <w:rPr>
          <w:rFonts w:ascii="Cambria" w:hAnsi="Cambria"/>
          <w:b/>
          <w:sz w:val="24"/>
          <w:szCs w:val="24"/>
        </w:rPr>
        <w:t>10. APVALAS STALAS IR MOKYMAI</w:t>
      </w:r>
    </w:p>
    <w:p w:rsidR="00260B93" w:rsidRPr="006F2903" w:rsidRDefault="006F2903" w:rsidP="006F2903">
      <w:pPr>
        <w:spacing w:after="0" w:line="240" w:lineRule="auto"/>
        <w:ind w:left="720" w:firstLine="720"/>
        <w:rPr>
          <w:rFonts w:ascii="Cambria" w:hAnsi="Cambria"/>
          <w:sz w:val="24"/>
          <w:szCs w:val="24"/>
          <w:lang w:val="lt-LT"/>
        </w:rPr>
      </w:pPr>
      <w:r w:rsidRPr="006F2903">
        <w:rPr>
          <w:rFonts w:ascii="Cambria" w:hAnsi="Cambria"/>
          <w:sz w:val="24"/>
          <w:szCs w:val="24"/>
          <w:lang w:val="lt-LT"/>
        </w:rPr>
        <w:t>Kaip galima dalyvauti sprendimų priėmimo procesuose Europos Sąjungoje kaip individas ir kaip organizacijos ar įstaigos atstovas?</w:t>
      </w:r>
    </w:p>
    <w:p w:rsidR="006F2903" w:rsidRPr="006F2903" w:rsidRDefault="006F2903" w:rsidP="006F2903">
      <w:pPr>
        <w:spacing w:after="0" w:line="240" w:lineRule="auto"/>
        <w:ind w:left="720"/>
        <w:rPr>
          <w:rFonts w:ascii="Cambria" w:hAnsi="Cambria"/>
          <w:sz w:val="24"/>
          <w:szCs w:val="24"/>
          <w:lang w:val="lt-LT"/>
        </w:rPr>
      </w:pPr>
    </w:p>
    <w:sectPr w:rsidR="006F2903" w:rsidRPr="006F2903" w:rsidSect="001E51D4">
      <w:pgSz w:w="12240" w:h="15840"/>
      <w:pgMar w:top="2127" w:right="1440" w:bottom="198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Arial"/>
    <w:panose1 w:val="02020603050405020304"/>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8FC"/>
    <w:multiLevelType w:val="hybridMultilevel"/>
    <w:tmpl w:val="D83CEEC6"/>
    <w:lvl w:ilvl="0" w:tplc="646AB2B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E0F09"/>
    <w:multiLevelType w:val="hybridMultilevel"/>
    <w:tmpl w:val="E8D8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E1012"/>
    <w:multiLevelType w:val="hybridMultilevel"/>
    <w:tmpl w:val="603A0A9A"/>
    <w:lvl w:ilvl="0" w:tplc="646AB2B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A3E78"/>
    <w:multiLevelType w:val="hybridMultilevel"/>
    <w:tmpl w:val="6BBCA690"/>
    <w:lvl w:ilvl="0" w:tplc="7542037A">
      <w:start w:val="1"/>
      <w:numFmt w:val="bullet"/>
      <w:lvlText w:val=""/>
      <w:lvlJc w:val="left"/>
      <w:pPr>
        <w:tabs>
          <w:tab w:val="num" w:pos="720"/>
        </w:tabs>
        <w:ind w:left="720" w:hanging="360"/>
      </w:pPr>
      <w:rPr>
        <w:rFonts w:ascii="Wingdings" w:hAnsi="Wingdings" w:hint="default"/>
      </w:rPr>
    </w:lvl>
    <w:lvl w:ilvl="1" w:tplc="DB4EC72A" w:tentative="1">
      <w:start w:val="1"/>
      <w:numFmt w:val="bullet"/>
      <w:lvlText w:val=""/>
      <w:lvlJc w:val="left"/>
      <w:pPr>
        <w:tabs>
          <w:tab w:val="num" w:pos="1440"/>
        </w:tabs>
        <w:ind w:left="1440" w:hanging="360"/>
      </w:pPr>
      <w:rPr>
        <w:rFonts w:ascii="Wingdings" w:hAnsi="Wingdings" w:hint="default"/>
      </w:rPr>
    </w:lvl>
    <w:lvl w:ilvl="2" w:tplc="0F326592" w:tentative="1">
      <w:start w:val="1"/>
      <w:numFmt w:val="bullet"/>
      <w:lvlText w:val=""/>
      <w:lvlJc w:val="left"/>
      <w:pPr>
        <w:tabs>
          <w:tab w:val="num" w:pos="2160"/>
        </w:tabs>
        <w:ind w:left="2160" w:hanging="360"/>
      </w:pPr>
      <w:rPr>
        <w:rFonts w:ascii="Wingdings" w:hAnsi="Wingdings" w:hint="default"/>
      </w:rPr>
    </w:lvl>
    <w:lvl w:ilvl="3" w:tplc="072699DC" w:tentative="1">
      <w:start w:val="1"/>
      <w:numFmt w:val="bullet"/>
      <w:lvlText w:val=""/>
      <w:lvlJc w:val="left"/>
      <w:pPr>
        <w:tabs>
          <w:tab w:val="num" w:pos="2880"/>
        </w:tabs>
        <w:ind w:left="2880" w:hanging="360"/>
      </w:pPr>
      <w:rPr>
        <w:rFonts w:ascii="Wingdings" w:hAnsi="Wingdings" w:hint="default"/>
      </w:rPr>
    </w:lvl>
    <w:lvl w:ilvl="4" w:tplc="0308920E" w:tentative="1">
      <w:start w:val="1"/>
      <w:numFmt w:val="bullet"/>
      <w:lvlText w:val=""/>
      <w:lvlJc w:val="left"/>
      <w:pPr>
        <w:tabs>
          <w:tab w:val="num" w:pos="3600"/>
        </w:tabs>
        <w:ind w:left="3600" w:hanging="360"/>
      </w:pPr>
      <w:rPr>
        <w:rFonts w:ascii="Wingdings" w:hAnsi="Wingdings" w:hint="default"/>
      </w:rPr>
    </w:lvl>
    <w:lvl w:ilvl="5" w:tplc="AFA85586" w:tentative="1">
      <w:start w:val="1"/>
      <w:numFmt w:val="bullet"/>
      <w:lvlText w:val=""/>
      <w:lvlJc w:val="left"/>
      <w:pPr>
        <w:tabs>
          <w:tab w:val="num" w:pos="4320"/>
        </w:tabs>
        <w:ind w:left="4320" w:hanging="360"/>
      </w:pPr>
      <w:rPr>
        <w:rFonts w:ascii="Wingdings" w:hAnsi="Wingdings" w:hint="default"/>
      </w:rPr>
    </w:lvl>
    <w:lvl w:ilvl="6" w:tplc="7452E36C" w:tentative="1">
      <w:start w:val="1"/>
      <w:numFmt w:val="bullet"/>
      <w:lvlText w:val=""/>
      <w:lvlJc w:val="left"/>
      <w:pPr>
        <w:tabs>
          <w:tab w:val="num" w:pos="5040"/>
        </w:tabs>
        <w:ind w:left="5040" w:hanging="360"/>
      </w:pPr>
      <w:rPr>
        <w:rFonts w:ascii="Wingdings" w:hAnsi="Wingdings" w:hint="default"/>
      </w:rPr>
    </w:lvl>
    <w:lvl w:ilvl="7" w:tplc="37CAB0E8" w:tentative="1">
      <w:start w:val="1"/>
      <w:numFmt w:val="bullet"/>
      <w:lvlText w:val=""/>
      <w:lvlJc w:val="left"/>
      <w:pPr>
        <w:tabs>
          <w:tab w:val="num" w:pos="5760"/>
        </w:tabs>
        <w:ind w:left="5760" w:hanging="360"/>
      </w:pPr>
      <w:rPr>
        <w:rFonts w:ascii="Wingdings" w:hAnsi="Wingdings" w:hint="default"/>
      </w:rPr>
    </w:lvl>
    <w:lvl w:ilvl="8" w:tplc="578045D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E32DA"/>
    <w:multiLevelType w:val="hybridMultilevel"/>
    <w:tmpl w:val="411AF95E"/>
    <w:lvl w:ilvl="0" w:tplc="04090001">
      <w:start w:val="1"/>
      <w:numFmt w:val="bullet"/>
      <w:lvlText w:val=""/>
      <w:lvlJc w:val="left"/>
      <w:pPr>
        <w:tabs>
          <w:tab w:val="num" w:pos="720"/>
        </w:tabs>
        <w:ind w:left="720" w:hanging="360"/>
      </w:pPr>
      <w:rPr>
        <w:rFonts w:ascii="Symbol" w:hAnsi="Symbol" w:hint="default"/>
      </w:rPr>
    </w:lvl>
    <w:lvl w:ilvl="1" w:tplc="85048EEC" w:tentative="1">
      <w:start w:val="1"/>
      <w:numFmt w:val="bullet"/>
      <w:lvlText w:val=""/>
      <w:lvlJc w:val="left"/>
      <w:pPr>
        <w:tabs>
          <w:tab w:val="num" w:pos="1440"/>
        </w:tabs>
        <w:ind w:left="1440" w:hanging="360"/>
      </w:pPr>
      <w:rPr>
        <w:rFonts w:ascii="Wingdings" w:hAnsi="Wingdings" w:hint="default"/>
      </w:rPr>
    </w:lvl>
    <w:lvl w:ilvl="2" w:tplc="6846B108" w:tentative="1">
      <w:start w:val="1"/>
      <w:numFmt w:val="bullet"/>
      <w:lvlText w:val=""/>
      <w:lvlJc w:val="left"/>
      <w:pPr>
        <w:tabs>
          <w:tab w:val="num" w:pos="2160"/>
        </w:tabs>
        <w:ind w:left="2160" w:hanging="360"/>
      </w:pPr>
      <w:rPr>
        <w:rFonts w:ascii="Wingdings" w:hAnsi="Wingdings" w:hint="default"/>
      </w:rPr>
    </w:lvl>
    <w:lvl w:ilvl="3" w:tplc="0316CA08" w:tentative="1">
      <w:start w:val="1"/>
      <w:numFmt w:val="bullet"/>
      <w:lvlText w:val=""/>
      <w:lvlJc w:val="left"/>
      <w:pPr>
        <w:tabs>
          <w:tab w:val="num" w:pos="2880"/>
        </w:tabs>
        <w:ind w:left="2880" w:hanging="360"/>
      </w:pPr>
      <w:rPr>
        <w:rFonts w:ascii="Wingdings" w:hAnsi="Wingdings" w:hint="default"/>
      </w:rPr>
    </w:lvl>
    <w:lvl w:ilvl="4" w:tplc="31F86992" w:tentative="1">
      <w:start w:val="1"/>
      <w:numFmt w:val="bullet"/>
      <w:lvlText w:val=""/>
      <w:lvlJc w:val="left"/>
      <w:pPr>
        <w:tabs>
          <w:tab w:val="num" w:pos="3600"/>
        </w:tabs>
        <w:ind w:left="3600" w:hanging="360"/>
      </w:pPr>
      <w:rPr>
        <w:rFonts w:ascii="Wingdings" w:hAnsi="Wingdings" w:hint="default"/>
      </w:rPr>
    </w:lvl>
    <w:lvl w:ilvl="5" w:tplc="6E8EAC38" w:tentative="1">
      <w:start w:val="1"/>
      <w:numFmt w:val="bullet"/>
      <w:lvlText w:val=""/>
      <w:lvlJc w:val="left"/>
      <w:pPr>
        <w:tabs>
          <w:tab w:val="num" w:pos="4320"/>
        </w:tabs>
        <w:ind w:left="4320" w:hanging="360"/>
      </w:pPr>
      <w:rPr>
        <w:rFonts w:ascii="Wingdings" w:hAnsi="Wingdings" w:hint="default"/>
      </w:rPr>
    </w:lvl>
    <w:lvl w:ilvl="6" w:tplc="590E08DC" w:tentative="1">
      <w:start w:val="1"/>
      <w:numFmt w:val="bullet"/>
      <w:lvlText w:val=""/>
      <w:lvlJc w:val="left"/>
      <w:pPr>
        <w:tabs>
          <w:tab w:val="num" w:pos="5040"/>
        </w:tabs>
        <w:ind w:left="5040" w:hanging="360"/>
      </w:pPr>
      <w:rPr>
        <w:rFonts w:ascii="Wingdings" w:hAnsi="Wingdings" w:hint="default"/>
      </w:rPr>
    </w:lvl>
    <w:lvl w:ilvl="7" w:tplc="46E648BE" w:tentative="1">
      <w:start w:val="1"/>
      <w:numFmt w:val="bullet"/>
      <w:lvlText w:val=""/>
      <w:lvlJc w:val="left"/>
      <w:pPr>
        <w:tabs>
          <w:tab w:val="num" w:pos="5760"/>
        </w:tabs>
        <w:ind w:left="5760" w:hanging="360"/>
      </w:pPr>
      <w:rPr>
        <w:rFonts w:ascii="Wingdings" w:hAnsi="Wingdings" w:hint="default"/>
      </w:rPr>
    </w:lvl>
    <w:lvl w:ilvl="8" w:tplc="08C01F8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A57C13"/>
    <w:multiLevelType w:val="hybridMultilevel"/>
    <w:tmpl w:val="16B4428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5085E4C"/>
    <w:multiLevelType w:val="hybridMultilevel"/>
    <w:tmpl w:val="931C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466A55"/>
    <w:multiLevelType w:val="hybridMultilevel"/>
    <w:tmpl w:val="C97AD5EC"/>
    <w:lvl w:ilvl="0" w:tplc="646AB2B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807E2"/>
    <w:multiLevelType w:val="hybridMultilevel"/>
    <w:tmpl w:val="5290B226"/>
    <w:lvl w:ilvl="0" w:tplc="D3C2455E">
      <w:start w:val="1"/>
      <w:numFmt w:val="bullet"/>
      <w:lvlText w:val=""/>
      <w:lvlJc w:val="left"/>
      <w:pPr>
        <w:tabs>
          <w:tab w:val="num" w:pos="720"/>
        </w:tabs>
        <w:ind w:left="720" w:hanging="360"/>
      </w:pPr>
      <w:rPr>
        <w:rFonts w:ascii="Wingdings" w:hAnsi="Wingdings" w:hint="default"/>
      </w:rPr>
    </w:lvl>
    <w:lvl w:ilvl="1" w:tplc="85048EEC" w:tentative="1">
      <w:start w:val="1"/>
      <w:numFmt w:val="bullet"/>
      <w:lvlText w:val=""/>
      <w:lvlJc w:val="left"/>
      <w:pPr>
        <w:tabs>
          <w:tab w:val="num" w:pos="1440"/>
        </w:tabs>
        <w:ind w:left="1440" w:hanging="360"/>
      </w:pPr>
      <w:rPr>
        <w:rFonts w:ascii="Wingdings" w:hAnsi="Wingdings" w:hint="default"/>
      </w:rPr>
    </w:lvl>
    <w:lvl w:ilvl="2" w:tplc="6846B108" w:tentative="1">
      <w:start w:val="1"/>
      <w:numFmt w:val="bullet"/>
      <w:lvlText w:val=""/>
      <w:lvlJc w:val="left"/>
      <w:pPr>
        <w:tabs>
          <w:tab w:val="num" w:pos="2160"/>
        </w:tabs>
        <w:ind w:left="2160" w:hanging="360"/>
      </w:pPr>
      <w:rPr>
        <w:rFonts w:ascii="Wingdings" w:hAnsi="Wingdings" w:hint="default"/>
      </w:rPr>
    </w:lvl>
    <w:lvl w:ilvl="3" w:tplc="0316CA08" w:tentative="1">
      <w:start w:val="1"/>
      <w:numFmt w:val="bullet"/>
      <w:lvlText w:val=""/>
      <w:lvlJc w:val="left"/>
      <w:pPr>
        <w:tabs>
          <w:tab w:val="num" w:pos="2880"/>
        </w:tabs>
        <w:ind w:left="2880" w:hanging="360"/>
      </w:pPr>
      <w:rPr>
        <w:rFonts w:ascii="Wingdings" w:hAnsi="Wingdings" w:hint="default"/>
      </w:rPr>
    </w:lvl>
    <w:lvl w:ilvl="4" w:tplc="31F86992" w:tentative="1">
      <w:start w:val="1"/>
      <w:numFmt w:val="bullet"/>
      <w:lvlText w:val=""/>
      <w:lvlJc w:val="left"/>
      <w:pPr>
        <w:tabs>
          <w:tab w:val="num" w:pos="3600"/>
        </w:tabs>
        <w:ind w:left="3600" w:hanging="360"/>
      </w:pPr>
      <w:rPr>
        <w:rFonts w:ascii="Wingdings" w:hAnsi="Wingdings" w:hint="default"/>
      </w:rPr>
    </w:lvl>
    <w:lvl w:ilvl="5" w:tplc="6E8EAC38" w:tentative="1">
      <w:start w:val="1"/>
      <w:numFmt w:val="bullet"/>
      <w:lvlText w:val=""/>
      <w:lvlJc w:val="left"/>
      <w:pPr>
        <w:tabs>
          <w:tab w:val="num" w:pos="4320"/>
        </w:tabs>
        <w:ind w:left="4320" w:hanging="360"/>
      </w:pPr>
      <w:rPr>
        <w:rFonts w:ascii="Wingdings" w:hAnsi="Wingdings" w:hint="default"/>
      </w:rPr>
    </w:lvl>
    <w:lvl w:ilvl="6" w:tplc="590E08DC" w:tentative="1">
      <w:start w:val="1"/>
      <w:numFmt w:val="bullet"/>
      <w:lvlText w:val=""/>
      <w:lvlJc w:val="left"/>
      <w:pPr>
        <w:tabs>
          <w:tab w:val="num" w:pos="5040"/>
        </w:tabs>
        <w:ind w:left="5040" w:hanging="360"/>
      </w:pPr>
      <w:rPr>
        <w:rFonts w:ascii="Wingdings" w:hAnsi="Wingdings" w:hint="default"/>
      </w:rPr>
    </w:lvl>
    <w:lvl w:ilvl="7" w:tplc="46E648BE" w:tentative="1">
      <w:start w:val="1"/>
      <w:numFmt w:val="bullet"/>
      <w:lvlText w:val=""/>
      <w:lvlJc w:val="left"/>
      <w:pPr>
        <w:tabs>
          <w:tab w:val="num" w:pos="5760"/>
        </w:tabs>
        <w:ind w:left="5760" w:hanging="360"/>
      </w:pPr>
      <w:rPr>
        <w:rFonts w:ascii="Wingdings" w:hAnsi="Wingdings" w:hint="default"/>
      </w:rPr>
    </w:lvl>
    <w:lvl w:ilvl="8" w:tplc="08C01F8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691FA3"/>
    <w:multiLevelType w:val="hybridMultilevel"/>
    <w:tmpl w:val="D67AA1C2"/>
    <w:lvl w:ilvl="0" w:tplc="1704527E">
      <w:start w:val="1"/>
      <w:numFmt w:val="bullet"/>
      <w:lvlText w:val=""/>
      <w:lvlJc w:val="left"/>
      <w:pPr>
        <w:tabs>
          <w:tab w:val="num" w:pos="720"/>
        </w:tabs>
        <w:ind w:left="720" w:hanging="360"/>
      </w:pPr>
      <w:rPr>
        <w:rFonts w:ascii="Wingdings" w:hAnsi="Wingdings" w:hint="default"/>
      </w:rPr>
    </w:lvl>
    <w:lvl w:ilvl="1" w:tplc="16C02100" w:tentative="1">
      <w:start w:val="1"/>
      <w:numFmt w:val="bullet"/>
      <w:lvlText w:val=""/>
      <w:lvlJc w:val="left"/>
      <w:pPr>
        <w:tabs>
          <w:tab w:val="num" w:pos="1440"/>
        </w:tabs>
        <w:ind w:left="1440" w:hanging="360"/>
      </w:pPr>
      <w:rPr>
        <w:rFonts w:ascii="Wingdings" w:hAnsi="Wingdings" w:hint="default"/>
      </w:rPr>
    </w:lvl>
    <w:lvl w:ilvl="2" w:tplc="687CBF36" w:tentative="1">
      <w:start w:val="1"/>
      <w:numFmt w:val="bullet"/>
      <w:lvlText w:val=""/>
      <w:lvlJc w:val="left"/>
      <w:pPr>
        <w:tabs>
          <w:tab w:val="num" w:pos="2160"/>
        </w:tabs>
        <w:ind w:left="2160" w:hanging="360"/>
      </w:pPr>
      <w:rPr>
        <w:rFonts w:ascii="Wingdings" w:hAnsi="Wingdings" w:hint="default"/>
      </w:rPr>
    </w:lvl>
    <w:lvl w:ilvl="3" w:tplc="089A76E0" w:tentative="1">
      <w:start w:val="1"/>
      <w:numFmt w:val="bullet"/>
      <w:lvlText w:val=""/>
      <w:lvlJc w:val="left"/>
      <w:pPr>
        <w:tabs>
          <w:tab w:val="num" w:pos="2880"/>
        </w:tabs>
        <w:ind w:left="2880" w:hanging="360"/>
      </w:pPr>
      <w:rPr>
        <w:rFonts w:ascii="Wingdings" w:hAnsi="Wingdings" w:hint="default"/>
      </w:rPr>
    </w:lvl>
    <w:lvl w:ilvl="4" w:tplc="0C849F30" w:tentative="1">
      <w:start w:val="1"/>
      <w:numFmt w:val="bullet"/>
      <w:lvlText w:val=""/>
      <w:lvlJc w:val="left"/>
      <w:pPr>
        <w:tabs>
          <w:tab w:val="num" w:pos="3600"/>
        </w:tabs>
        <w:ind w:left="3600" w:hanging="360"/>
      </w:pPr>
      <w:rPr>
        <w:rFonts w:ascii="Wingdings" w:hAnsi="Wingdings" w:hint="default"/>
      </w:rPr>
    </w:lvl>
    <w:lvl w:ilvl="5" w:tplc="5CD2429A" w:tentative="1">
      <w:start w:val="1"/>
      <w:numFmt w:val="bullet"/>
      <w:lvlText w:val=""/>
      <w:lvlJc w:val="left"/>
      <w:pPr>
        <w:tabs>
          <w:tab w:val="num" w:pos="4320"/>
        </w:tabs>
        <w:ind w:left="4320" w:hanging="360"/>
      </w:pPr>
      <w:rPr>
        <w:rFonts w:ascii="Wingdings" w:hAnsi="Wingdings" w:hint="default"/>
      </w:rPr>
    </w:lvl>
    <w:lvl w:ilvl="6" w:tplc="79EE1512" w:tentative="1">
      <w:start w:val="1"/>
      <w:numFmt w:val="bullet"/>
      <w:lvlText w:val=""/>
      <w:lvlJc w:val="left"/>
      <w:pPr>
        <w:tabs>
          <w:tab w:val="num" w:pos="5040"/>
        </w:tabs>
        <w:ind w:left="5040" w:hanging="360"/>
      </w:pPr>
      <w:rPr>
        <w:rFonts w:ascii="Wingdings" w:hAnsi="Wingdings" w:hint="default"/>
      </w:rPr>
    </w:lvl>
    <w:lvl w:ilvl="7" w:tplc="9C644DAC" w:tentative="1">
      <w:start w:val="1"/>
      <w:numFmt w:val="bullet"/>
      <w:lvlText w:val=""/>
      <w:lvlJc w:val="left"/>
      <w:pPr>
        <w:tabs>
          <w:tab w:val="num" w:pos="5760"/>
        </w:tabs>
        <w:ind w:left="5760" w:hanging="360"/>
      </w:pPr>
      <w:rPr>
        <w:rFonts w:ascii="Wingdings" w:hAnsi="Wingdings" w:hint="default"/>
      </w:rPr>
    </w:lvl>
    <w:lvl w:ilvl="8" w:tplc="2CF29FD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0"/>
  </w:num>
  <w:num w:numId="6">
    <w:abstractNumId w:val="5"/>
  </w:num>
  <w:num w:numId="7">
    <w:abstractNumId w:val="8"/>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78F"/>
    <w:rsid w:val="001E51D4"/>
    <w:rsid w:val="00260B93"/>
    <w:rsid w:val="00572D09"/>
    <w:rsid w:val="006F2903"/>
    <w:rsid w:val="007C278F"/>
    <w:rsid w:val="009C75FE"/>
    <w:rsid w:val="00B41B16"/>
    <w:rsid w:val="00C43824"/>
    <w:rsid w:val="00FB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87A86-0AAF-4E15-9E7F-3CF57B30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C278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lv-LV" w:eastAsia="lv-LV"/>
      <w14:textOutline w14:w="0" w14:cap="flat" w14:cmpd="sng" w14:algn="ctr">
        <w14:noFill/>
        <w14:prstDash w14:val="solid"/>
        <w14:bevel/>
      </w14:textOutline>
    </w:rPr>
  </w:style>
  <w:style w:type="character" w:styleId="Hyperlink">
    <w:name w:val="Hyperlink"/>
    <w:basedOn w:val="DefaultParagraphFont"/>
    <w:uiPriority w:val="99"/>
    <w:unhideWhenUsed/>
    <w:rsid w:val="00FB64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690825">
      <w:bodyDiv w:val="1"/>
      <w:marLeft w:val="0"/>
      <w:marRight w:val="0"/>
      <w:marTop w:val="0"/>
      <w:marBottom w:val="0"/>
      <w:divBdr>
        <w:top w:val="none" w:sz="0" w:space="0" w:color="auto"/>
        <w:left w:val="none" w:sz="0" w:space="0" w:color="auto"/>
        <w:bottom w:val="none" w:sz="0" w:space="0" w:color="auto"/>
        <w:right w:val="none" w:sz="0" w:space="0" w:color="auto"/>
      </w:divBdr>
      <w:divsChild>
        <w:div w:id="964580189">
          <w:marLeft w:val="547"/>
          <w:marRight w:val="0"/>
          <w:marTop w:val="106"/>
          <w:marBottom w:val="0"/>
          <w:divBdr>
            <w:top w:val="none" w:sz="0" w:space="0" w:color="auto"/>
            <w:left w:val="none" w:sz="0" w:space="0" w:color="auto"/>
            <w:bottom w:val="none" w:sz="0" w:space="0" w:color="auto"/>
            <w:right w:val="none" w:sz="0" w:space="0" w:color="auto"/>
          </w:divBdr>
        </w:div>
        <w:div w:id="295992957">
          <w:marLeft w:val="547"/>
          <w:marRight w:val="0"/>
          <w:marTop w:val="106"/>
          <w:marBottom w:val="0"/>
          <w:divBdr>
            <w:top w:val="none" w:sz="0" w:space="0" w:color="auto"/>
            <w:left w:val="none" w:sz="0" w:space="0" w:color="auto"/>
            <w:bottom w:val="none" w:sz="0" w:space="0" w:color="auto"/>
            <w:right w:val="none" w:sz="0" w:space="0" w:color="auto"/>
          </w:divBdr>
        </w:div>
        <w:div w:id="695665185">
          <w:marLeft w:val="547"/>
          <w:marRight w:val="0"/>
          <w:marTop w:val="106"/>
          <w:marBottom w:val="0"/>
          <w:divBdr>
            <w:top w:val="none" w:sz="0" w:space="0" w:color="auto"/>
            <w:left w:val="none" w:sz="0" w:space="0" w:color="auto"/>
            <w:bottom w:val="none" w:sz="0" w:space="0" w:color="auto"/>
            <w:right w:val="none" w:sz="0" w:space="0" w:color="auto"/>
          </w:divBdr>
        </w:div>
        <w:div w:id="1119182071">
          <w:marLeft w:val="547"/>
          <w:marRight w:val="0"/>
          <w:marTop w:val="106"/>
          <w:marBottom w:val="0"/>
          <w:divBdr>
            <w:top w:val="none" w:sz="0" w:space="0" w:color="auto"/>
            <w:left w:val="none" w:sz="0" w:space="0" w:color="auto"/>
            <w:bottom w:val="none" w:sz="0" w:space="0" w:color="auto"/>
            <w:right w:val="none" w:sz="0" w:space="0" w:color="auto"/>
          </w:divBdr>
        </w:div>
      </w:divsChild>
    </w:div>
    <w:div w:id="1822387992">
      <w:bodyDiv w:val="1"/>
      <w:marLeft w:val="0"/>
      <w:marRight w:val="0"/>
      <w:marTop w:val="0"/>
      <w:marBottom w:val="0"/>
      <w:divBdr>
        <w:top w:val="none" w:sz="0" w:space="0" w:color="auto"/>
        <w:left w:val="none" w:sz="0" w:space="0" w:color="auto"/>
        <w:bottom w:val="none" w:sz="0" w:space="0" w:color="auto"/>
        <w:right w:val="none" w:sz="0" w:space="0" w:color="auto"/>
      </w:divBdr>
      <w:divsChild>
        <w:div w:id="1342586297">
          <w:marLeft w:val="547"/>
          <w:marRight w:val="0"/>
          <w:marTop w:val="106"/>
          <w:marBottom w:val="0"/>
          <w:divBdr>
            <w:top w:val="none" w:sz="0" w:space="0" w:color="auto"/>
            <w:left w:val="none" w:sz="0" w:space="0" w:color="auto"/>
            <w:bottom w:val="none" w:sz="0" w:space="0" w:color="auto"/>
            <w:right w:val="none" w:sz="0" w:space="0" w:color="auto"/>
          </w:divBdr>
        </w:div>
        <w:div w:id="1132140507">
          <w:marLeft w:val="547"/>
          <w:marRight w:val="0"/>
          <w:marTop w:val="106"/>
          <w:marBottom w:val="0"/>
          <w:divBdr>
            <w:top w:val="none" w:sz="0" w:space="0" w:color="auto"/>
            <w:left w:val="none" w:sz="0" w:space="0" w:color="auto"/>
            <w:bottom w:val="none" w:sz="0" w:space="0" w:color="auto"/>
            <w:right w:val="none" w:sz="0" w:space="0" w:color="auto"/>
          </w:divBdr>
        </w:div>
        <w:div w:id="1599097797">
          <w:marLeft w:val="547"/>
          <w:marRight w:val="0"/>
          <w:marTop w:val="106"/>
          <w:marBottom w:val="0"/>
          <w:divBdr>
            <w:top w:val="none" w:sz="0" w:space="0" w:color="auto"/>
            <w:left w:val="none" w:sz="0" w:space="0" w:color="auto"/>
            <w:bottom w:val="none" w:sz="0" w:space="0" w:color="auto"/>
            <w:right w:val="none" w:sz="0" w:space="0" w:color="auto"/>
          </w:divBdr>
        </w:div>
      </w:divsChild>
    </w:div>
    <w:div w:id="2069960732">
      <w:bodyDiv w:val="1"/>
      <w:marLeft w:val="0"/>
      <w:marRight w:val="0"/>
      <w:marTop w:val="0"/>
      <w:marBottom w:val="0"/>
      <w:divBdr>
        <w:top w:val="none" w:sz="0" w:space="0" w:color="auto"/>
        <w:left w:val="none" w:sz="0" w:space="0" w:color="auto"/>
        <w:bottom w:val="none" w:sz="0" w:space="0" w:color="auto"/>
        <w:right w:val="none" w:sz="0" w:space="0" w:color="auto"/>
      </w:divBdr>
      <w:divsChild>
        <w:div w:id="152786445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0bzeewqmIC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3493</Words>
  <Characters>1992</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120724</dc:creator>
  <cp:lastModifiedBy>Andrej Jedik</cp:lastModifiedBy>
  <cp:revision>5</cp:revision>
  <dcterms:created xsi:type="dcterms:W3CDTF">2021-08-11T13:59:00Z</dcterms:created>
  <dcterms:modified xsi:type="dcterms:W3CDTF">2021-10-07T17:58:00Z</dcterms:modified>
</cp:coreProperties>
</file>